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689" w:rsidRPr="007879DB" w:rsidRDefault="0044655A" w:rsidP="006B0689">
      <w:pPr>
        <w:rPr>
          <w:b/>
        </w:rPr>
      </w:pPr>
      <w:proofErr w:type="gramStart"/>
      <w:r>
        <w:rPr>
          <w:b/>
        </w:rPr>
        <w:t>Criminal Justice Course</w:t>
      </w:r>
      <w:r w:rsidR="006B0689">
        <w:rPr>
          <w:b/>
        </w:rPr>
        <w:t xml:space="preserve"> 6.</w:t>
      </w:r>
      <w:proofErr w:type="gramEnd"/>
      <w:r w:rsidR="006B0689">
        <w:rPr>
          <w:b/>
        </w:rPr>
        <w:t xml:space="preserve"> </w:t>
      </w:r>
      <w:r w:rsidR="006B0689" w:rsidRPr="007879DB">
        <w:rPr>
          <w:b/>
        </w:rPr>
        <w:t>Homeland Security Protecting America’s Critical Infrastructure</w:t>
      </w:r>
    </w:p>
    <w:p w:rsidR="006B0689" w:rsidRDefault="006B0689" w:rsidP="006B0689"/>
    <w:p w:rsidR="006B0689" w:rsidRDefault="006B0689" w:rsidP="006B0689">
      <w:r w:rsidRPr="006B0689">
        <w:rPr>
          <w:b/>
        </w:rPr>
        <w:t>Description:</w:t>
      </w:r>
      <w:r>
        <w:t xml:space="preserve"> </w:t>
      </w:r>
      <w:r w:rsidRPr="007879DB">
        <w:t>Homeland Security provides the knowledge and skills necessary to prepare for careers in public safety and homeland security. This course includes the legal responsibilities, disaster preparedness, critical infrastructure protection, cyber security and emergency communications/</w:t>
      </w:r>
      <w:r w:rsidR="00D702B1" w:rsidRPr="007879DB">
        <w:t>telecommunication</w:t>
      </w:r>
      <w:r w:rsidR="00D702B1">
        <w:t>s</w:t>
      </w:r>
      <w:bookmarkStart w:id="0" w:name="_GoBack"/>
      <w:bookmarkEnd w:id="0"/>
      <w:r w:rsidRPr="007879DB">
        <w:t>.</w:t>
      </w:r>
    </w:p>
    <w:p w:rsidR="006B0689" w:rsidRPr="007879DB" w:rsidRDefault="006B0689" w:rsidP="006B0689"/>
    <w:tbl>
      <w:tblPr>
        <w:tblStyle w:val="TableGrid14"/>
        <w:tblW w:w="5000" w:type="pct"/>
        <w:tblLook w:val="04A0" w:firstRow="1" w:lastRow="0" w:firstColumn="1" w:lastColumn="0" w:noHBand="0" w:noVBand="1"/>
      </w:tblPr>
      <w:tblGrid>
        <w:gridCol w:w="1728"/>
        <w:gridCol w:w="450"/>
        <w:gridCol w:w="1800"/>
        <w:gridCol w:w="450"/>
        <w:gridCol w:w="1170"/>
        <w:gridCol w:w="630"/>
        <w:gridCol w:w="540"/>
        <w:gridCol w:w="450"/>
        <w:gridCol w:w="2358"/>
      </w:tblGrid>
      <w:tr w:rsidR="006B0689" w:rsidRPr="007879DB" w:rsidTr="002F23D3">
        <w:tc>
          <w:tcPr>
            <w:tcW w:w="902" w:type="pct"/>
            <w:shd w:val="clear" w:color="auto" w:fill="B8CCE4" w:themeFill="accent1" w:themeFillTint="66"/>
            <w:hideMark/>
          </w:tcPr>
          <w:p w:rsidR="006B0689" w:rsidRPr="007879DB" w:rsidRDefault="006B0689" w:rsidP="002F23D3">
            <w:pPr>
              <w:rPr>
                <w:b/>
              </w:rPr>
            </w:pPr>
            <w:r w:rsidRPr="007879DB">
              <w:rPr>
                <w:b/>
              </w:rPr>
              <w:t>Outcome</w:t>
            </w:r>
          </w:p>
        </w:tc>
        <w:tc>
          <w:tcPr>
            <w:tcW w:w="4098" w:type="pct"/>
            <w:gridSpan w:val="8"/>
          </w:tcPr>
          <w:p w:rsidR="006B0689" w:rsidRPr="007879DB" w:rsidRDefault="006B0689" w:rsidP="006B0689">
            <w:pPr>
              <w:numPr>
                <w:ilvl w:val="1"/>
                <w:numId w:val="1"/>
              </w:numPr>
            </w:pPr>
            <w:r w:rsidRPr="007879DB">
              <w:t>Terrorism and Disaster Preparedness: Analyze terrorism, human trafficking, and disaster preparedness and the role of homeland security in prevention, mitigation, response, and recovery.</w:t>
            </w:r>
          </w:p>
        </w:tc>
      </w:tr>
      <w:tr w:rsidR="006B0689" w:rsidRPr="007879DB" w:rsidTr="002F23D3">
        <w:tc>
          <w:tcPr>
            <w:tcW w:w="902" w:type="pct"/>
            <w:shd w:val="clear" w:color="auto" w:fill="B8CCE4" w:themeFill="accent1" w:themeFillTint="66"/>
            <w:hideMark/>
          </w:tcPr>
          <w:p w:rsidR="006B0689" w:rsidRPr="007879DB" w:rsidRDefault="006B0689" w:rsidP="002F23D3">
            <w:pPr>
              <w:rPr>
                <w:b/>
              </w:rPr>
            </w:pPr>
            <w:r w:rsidRPr="007879DB">
              <w:rPr>
                <w:b/>
              </w:rPr>
              <w:t>Competencies</w:t>
            </w:r>
          </w:p>
        </w:tc>
        <w:tc>
          <w:tcPr>
            <w:tcW w:w="4098" w:type="pct"/>
            <w:gridSpan w:val="8"/>
          </w:tcPr>
          <w:p w:rsidR="006B0689" w:rsidRPr="007879DB" w:rsidRDefault="006B0689" w:rsidP="002F23D3">
            <w:pPr>
              <w:numPr>
                <w:ilvl w:val="2"/>
                <w:numId w:val="1"/>
              </w:numPr>
              <w:ind w:left="706" w:hanging="706"/>
            </w:pPr>
            <w:r w:rsidRPr="007879DB">
              <w:t>Analyze the types, modes of operation, and tactics of terrorist organizations, both foreign and domestic.</w:t>
            </w:r>
          </w:p>
          <w:p w:rsidR="006B0689" w:rsidRPr="007879DB" w:rsidRDefault="006B0689" w:rsidP="002F23D3">
            <w:pPr>
              <w:numPr>
                <w:ilvl w:val="2"/>
                <w:numId w:val="1"/>
              </w:numPr>
              <w:ind w:left="706" w:hanging="706"/>
            </w:pPr>
            <w:r w:rsidRPr="007879DB">
              <w:t>Summarize the roles, duties, and strengths of local, state, and federal agencies involved in homeland security.</w:t>
            </w:r>
          </w:p>
          <w:p w:rsidR="006B0689" w:rsidRPr="007879DB" w:rsidRDefault="006B0689" w:rsidP="002F23D3">
            <w:pPr>
              <w:numPr>
                <w:ilvl w:val="2"/>
                <w:numId w:val="1"/>
              </w:numPr>
              <w:ind w:left="706" w:hanging="706"/>
            </w:pPr>
            <w:r w:rsidRPr="007879DB">
              <w:t>Describe the chain of command and hierarchy among all homeland security agencies.</w:t>
            </w:r>
          </w:p>
          <w:p w:rsidR="006B0689" w:rsidRPr="007879DB" w:rsidRDefault="006B0689" w:rsidP="002F23D3">
            <w:pPr>
              <w:numPr>
                <w:ilvl w:val="2"/>
                <w:numId w:val="1"/>
              </w:numPr>
              <w:ind w:left="706" w:hanging="706"/>
            </w:pPr>
            <w:r w:rsidRPr="007879DB">
              <w:t>Critique communication issues, procedures, and interoperability among all homeland security agencies.</w:t>
            </w:r>
          </w:p>
          <w:p w:rsidR="006B0689" w:rsidRPr="007879DB" w:rsidRDefault="006B0689" w:rsidP="002F23D3">
            <w:pPr>
              <w:numPr>
                <w:ilvl w:val="2"/>
                <w:numId w:val="1"/>
              </w:numPr>
              <w:ind w:left="706" w:hanging="706"/>
            </w:pPr>
            <w:r w:rsidRPr="007879DB">
              <w:t>Compare and contrast responding to a terrorism-created crime scene and a non-terrorism-related crime scene.</w:t>
            </w:r>
          </w:p>
          <w:p w:rsidR="006B0689" w:rsidRPr="007879DB" w:rsidRDefault="006B0689" w:rsidP="002F23D3">
            <w:pPr>
              <w:numPr>
                <w:ilvl w:val="2"/>
                <w:numId w:val="1"/>
              </w:numPr>
              <w:ind w:left="706" w:hanging="706"/>
            </w:pPr>
            <w:r w:rsidRPr="007879DB">
              <w:t>Describe the purpose of interagency and intergovernmental collaboration in responding to emergency incidents.</w:t>
            </w:r>
          </w:p>
          <w:p w:rsidR="006B0689" w:rsidRPr="007879DB" w:rsidRDefault="006B0689" w:rsidP="002F23D3">
            <w:pPr>
              <w:numPr>
                <w:ilvl w:val="2"/>
                <w:numId w:val="1"/>
              </w:numPr>
              <w:ind w:left="706" w:hanging="706"/>
            </w:pPr>
            <w:r w:rsidRPr="007879DB">
              <w:t>Describe the purpose for non-governmental organizations (NGOs) in responding to emergency incidents.</w:t>
            </w:r>
          </w:p>
          <w:p w:rsidR="006B0689" w:rsidRPr="007879DB" w:rsidRDefault="006B0689" w:rsidP="002F23D3">
            <w:pPr>
              <w:numPr>
                <w:ilvl w:val="2"/>
                <w:numId w:val="1"/>
              </w:numPr>
              <w:ind w:left="706" w:hanging="706"/>
            </w:pPr>
            <w:r w:rsidRPr="007879DB">
              <w:t>Identify and describe the role of the emergency management agency director in developing a community emergency response plan and coordinating a response to a disaster.</w:t>
            </w:r>
          </w:p>
          <w:p w:rsidR="006B0689" w:rsidRPr="007879DB" w:rsidRDefault="006B0689" w:rsidP="002F23D3">
            <w:pPr>
              <w:numPr>
                <w:ilvl w:val="2"/>
                <w:numId w:val="1"/>
              </w:numPr>
              <w:ind w:left="706" w:hanging="706"/>
            </w:pPr>
            <w:r w:rsidRPr="007879DB">
              <w:t>Summarize the procedures necessary for a local entity or state to obtain federal assistance in a disaster situation.</w:t>
            </w:r>
          </w:p>
          <w:p w:rsidR="006B0689" w:rsidRPr="007879DB" w:rsidRDefault="006B0689" w:rsidP="002F23D3">
            <w:pPr>
              <w:numPr>
                <w:ilvl w:val="2"/>
                <w:numId w:val="1"/>
              </w:numPr>
              <w:ind w:left="706" w:hanging="706"/>
            </w:pPr>
            <w:r w:rsidRPr="007879DB">
              <w:t>Compare and contrast the roles of the National Guard and military in responding to disasters.</w:t>
            </w:r>
          </w:p>
        </w:tc>
      </w:tr>
      <w:tr w:rsidR="006B0689" w:rsidRPr="007879DB" w:rsidTr="002F23D3">
        <w:tc>
          <w:tcPr>
            <w:tcW w:w="902" w:type="pct"/>
            <w:shd w:val="clear" w:color="auto" w:fill="B8CCE4" w:themeFill="accent1" w:themeFillTint="66"/>
          </w:tcPr>
          <w:p w:rsidR="006B0689" w:rsidRPr="007879DB" w:rsidRDefault="006B0689" w:rsidP="002F23D3">
            <w:pPr>
              <w:rPr>
                <w:b/>
              </w:rPr>
            </w:pPr>
            <w:r w:rsidRPr="007879DB">
              <w:rPr>
                <w:b/>
              </w:rPr>
              <w:t>Pathways</w:t>
            </w:r>
          </w:p>
        </w:tc>
        <w:tc>
          <w:tcPr>
            <w:tcW w:w="235" w:type="pct"/>
            <w:tcBorders>
              <w:right w:val="nil"/>
            </w:tcBorders>
          </w:tcPr>
          <w:p w:rsidR="006B0689" w:rsidRPr="007879DB" w:rsidRDefault="006B0689" w:rsidP="002F23D3">
            <w:pPr>
              <w:jc w:val="center"/>
            </w:pPr>
            <w:r w:rsidRPr="007879DB">
              <w:t>X</w:t>
            </w:r>
          </w:p>
        </w:tc>
        <w:tc>
          <w:tcPr>
            <w:tcW w:w="1786" w:type="pct"/>
            <w:gridSpan w:val="3"/>
            <w:tcBorders>
              <w:left w:val="nil"/>
            </w:tcBorders>
            <w:shd w:val="clear" w:color="auto" w:fill="B8CCE4" w:themeFill="accent1" w:themeFillTint="66"/>
          </w:tcPr>
          <w:p w:rsidR="006B0689" w:rsidRPr="007879DB" w:rsidRDefault="006B0689" w:rsidP="002F23D3">
            <w:r w:rsidRPr="007879DB">
              <w:t>Criminal Justice</w:t>
            </w:r>
          </w:p>
        </w:tc>
        <w:tc>
          <w:tcPr>
            <w:tcW w:w="329" w:type="pct"/>
            <w:tcBorders>
              <w:right w:val="nil"/>
            </w:tcBorders>
          </w:tcPr>
          <w:p w:rsidR="006B0689" w:rsidRPr="007879DB" w:rsidRDefault="006B0689" w:rsidP="002F23D3">
            <w:pPr>
              <w:jc w:val="center"/>
            </w:pPr>
            <w:r w:rsidRPr="007879DB">
              <w:t>X</w:t>
            </w:r>
          </w:p>
        </w:tc>
        <w:tc>
          <w:tcPr>
            <w:tcW w:w="1748" w:type="pct"/>
            <w:gridSpan w:val="3"/>
            <w:tcBorders>
              <w:left w:val="nil"/>
            </w:tcBorders>
            <w:shd w:val="clear" w:color="auto" w:fill="B8CCE4" w:themeFill="accent1" w:themeFillTint="66"/>
          </w:tcPr>
          <w:p w:rsidR="006B0689" w:rsidRPr="007879DB" w:rsidRDefault="006B0689" w:rsidP="002F23D3">
            <w:r w:rsidRPr="007879DB">
              <w:t>Fire</w:t>
            </w:r>
          </w:p>
        </w:tc>
      </w:tr>
      <w:tr w:rsidR="006B0689" w:rsidRPr="007879DB" w:rsidTr="002F23D3">
        <w:tc>
          <w:tcPr>
            <w:tcW w:w="902" w:type="pct"/>
            <w:shd w:val="clear" w:color="auto" w:fill="B8CCE4" w:themeFill="accent1" w:themeFillTint="66"/>
          </w:tcPr>
          <w:p w:rsidR="006B0689" w:rsidRPr="007879DB" w:rsidRDefault="006B0689" w:rsidP="002F23D3">
            <w:pPr>
              <w:rPr>
                <w:b/>
              </w:rPr>
            </w:pPr>
            <w:r w:rsidRPr="007879DB">
              <w:rPr>
                <w:b/>
              </w:rPr>
              <w:t>Green Practices</w:t>
            </w:r>
          </w:p>
        </w:tc>
        <w:tc>
          <w:tcPr>
            <w:tcW w:w="235" w:type="pct"/>
            <w:tcBorders>
              <w:right w:val="nil"/>
            </w:tcBorders>
          </w:tcPr>
          <w:p w:rsidR="006B0689" w:rsidRPr="007879DB" w:rsidRDefault="006B0689" w:rsidP="002F23D3">
            <w:pPr>
              <w:jc w:val="center"/>
            </w:pPr>
          </w:p>
        </w:tc>
        <w:tc>
          <w:tcPr>
            <w:tcW w:w="940" w:type="pct"/>
            <w:tcBorders>
              <w:left w:val="nil"/>
            </w:tcBorders>
            <w:shd w:val="clear" w:color="auto" w:fill="B8CCE4" w:themeFill="accent1" w:themeFillTint="66"/>
          </w:tcPr>
          <w:p w:rsidR="006B0689" w:rsidRPr="007879DB" w:rsidRDefault="006B0689" w:rsidP="002F23D3">
            <w:r w:rsidRPr="007879DB">
              <w:t>Green-specific</w:t>
            </w:r>
          </w:p>
        </w:tc>
        <w:tc>
          <w:tcPr>
            <w:tcW w:w="235" w:type="pct"/>
            <w:tcBorders>
              <w:right w:val="nil"/>
            </w:tcBorders>
          </w:tcPr>
          <w:p w:rsidR="006B0689" w:rsidRPr="007879DB" w:rsidRDefault="006B0689" w:rsidP="002F23D3"/>
        </w:tc>
        <w:tc>
          <w:tcPr>
            <w:tcW w:w="1222" w:type="pct"/>
            <w:gridSpan w:val="3"/>
            <w:tcBorders>
              <w:left w:val="nil"/>
            </w:tcBorders>
            <w:shd w:val="clear" w:color="auto" w:fill="B8CCE4" w:themeFill="accent1" w:themeFillTint="66"/>
          </w:tcPr>
          <w:p w:rsidR="006B0689" w:rsidRPr="007879DB" w:rsidRDefault="006B0689" w:rsidP="002F23D3">
            <w:r w:rsidRPr="007879DB">
              <w:t>Context-dependent</w:t>
            </w:r>
          </w:p>
        </w:tc>
        <w:tc>
          <w:tcPr>
            <w:tcW w:w="235" w:type="pct"/>
            <w:tcBorders>
              <w:right w:val="nil"/>
            </w:tcBorders>
          </w:tcPr>
          <w:p w:rsidR="006B0689" w:rsidRPr="007879DB" w:rsidRDefault="006B0689" w:rsidP="002F23D3">
            <w:r w:rsidRPr="007879DB">
              <w:t>X</w:t>
            </w:r>
          </w:p>
        </w:tc>
        <w:tc>
          <w:tcPr>
            <w:tcW w:w="1231" w:type="pct"/>
            <w:tcBorders>
              <w:left w:val="nil"/>
            </w:tcBorders>
            <w:shd w:val="clear" w:color="auto" w:fill="B8CCE4" w:themeFill="accent1" w:themeFillTint="66"/>
          </w:tcPr>
          <w:p w:rsidR="006B0689" w:rsidRPr="007879DB" w:rsidRDefault="006B0689" w:rsidP="002F23D3">
            <w:r w:rsidRPr="007879DB">
              <w:t>Does not apply</w:t>
            </w:r>
          </w:p>
        </w:tc>
      </w:tr>
    </w:tbl>
    <w:p w:rsidR="006B0689" w:rsidRPr="007879DB" w:rsidRDefault="006B0689" w:rsidP="006B0689">
      <w:pPr>
        <w:rPr>
          <w:rFonts w:ascii="Calibri" w:eastAsia="Calibri" w:hAnsi="Calibri" w:cs="Times New Roman"/>
        </w:rPr>
      </w:pPr>
    </w:p>
    <w:tbl>
      <w:tblPr>
        <w:tblStyle w:val="TableGrid14"/>
        <w:tblW w:w="5000" w:type="pct"/>
        <w:tblLook w:val="04A0" w:firstRow="1" w:lastRow="0" w:firstColumn="1" w:lastColumn="0" w:noHBand="0" w:noVBand="1"/>
      </w:tblPr>
      <w:tblGrid>
        <w:gridCol w:w="1734"/>
        <w:gridCol w:w="450"/>
        <w:gridCol w:w="1800"/>
        <w:gridCol w:w="450"/>
        <w:gridCol w:w="1170"/>
        <w:gridCol w:w="630"/>
        <w:gridCol w:w="540"/>
        <w:gridCol w:w="450"/>
        <w:gridCol w:w="2352"/>
      </w:tblGrid>
      <w:tr w:rsidR="006B0689" w:rsidRPr="007879DB" w:rsidTr="002F23D3">
        <w:tc>
          <w:tcPr>
            <w:tcW w:w="905"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B0689" w:rsidRPr="007879DB" w:rsidRDefault="006B0689" w:rsidP="002F23D3">
            <w:pPr>
              <w:rPr>
                <w:b/>
              </w:rPr>
            </w:pPr>
            <w:r w:rsidRPr="007879DB">
              <w:rPr>
                <w:b/>
              </w:rPr>
              <w:t>Outcome</w:t>
            </w:r>
          </w:p>
        </w:tc>
        <w:tc>
          <w:tcPr>
            <w:tcW w:w="4095" w:type="pct"/>
            <w:gridSpan w:val="8"/>
            <w:tcBorders>
              <w:top w:val="single" w:sz="4" w:space="0" w:color="auto"/>
              <w:left w:val="single" w:sz="4" w:space="0" w:color="auto"/>
              <w:bottom w:val="single" w:sz="4" w:space="0" w:color="auto"/>
              <w:right w:val="single" w:sz="4" w:space="0" w:color="auto"/>
            </w:tcBorders>
          </w:tcPr>
          <w:p w:rsidR="006B0689" w:rsidRPr="007879DB" w:rsidRDefault="006B0689" w:rsidP="002F23D3">
            <w:pPr>
              <w:numPr>
                <w:ilvl w:val="1"/>
                <w:numId w:val="1"/>
              </w:numPr>
              <w:ind w:left="520" w:hanging="520"/>
            </w:pPr>
            <w:r w:rsidRPr="007879DB">
              <w:t>Infrastructure and Border Protection: Describe the elements of national infrastructure and border protection.</w:t>
            </w:r>
          </w:p>
        </w:tc>
      </w:tr>
      <w:tr w:rsidR="006B0689" w:rsidRPr="007879DB" w:rsidTr="002F23D3">
        <w:tc>
          <w:tcPr>
            <w:tcW w:w="905" w:type="pct"/>
            <w:tcBorders>
              <w:top w:val="single" w:sz="4" w:space="0" w:color="auto"/>
              <w:left w:val="single" w:sz="4" w:space="0" w:color="auto"/>
              <w:bottom w:val="nil"/>
              <w:right w:val="single" w:sz="4" w:space="0" w:color="auto"/>
            </w:tcBorders>
            <w:shd w:val="clear" w:color="auto" w:fill="B8CCE4" w:themeFill="accent1" w:themeFillTint="66"/>
            <w:hideMark/>
          </w:tcPr>
          <w:p w:rsidR="006B0689" w:rsidRPr="007879DB" w:rsidRDefault="006B0689" w:rsidP="002F23D3">
            <w:pPr>
              <w:rPr>
                <w:b/>
              </w:rPr>
            </w:pPr>
            <w:r w:rsidRPr="007879DB">
              <w:rPr>
                <w:b/>
              </w:rPr>
              <w:t>Competencies</w:t>
            </w:r>
          </w:p>
        </w:tc>
        <w:tc>
          <w:tcPr>
            <w:tcW w:w="4095" w:type="pct"/>
            <w:gridSpan w:val="8"/>
            <w:tcBorders>
              <w:top w:val="single" w:sz="4" w:space="0" w:color="auto"/>
              <w:left w:val="single" w:sz="4" w:space="0" w:color="auto"/>
              <w:bottom w:val="single" w:sz="4" w:space="0" w:color="auto"/>
              <w:right w:val="single" w:sz="4" w:space="0" w:color="auto"/>
            </w:tcBorders>
          </w:tcPr>
          <w:p w:rsidR="006B0689" w:rsidRPr="007879DB" w:rsidRDefault="006B0689" w:rsidP="002F23D3">
            <w:pPr>
              <w:numPr>
                <w:ilvl w:val="2"/>
                <w:numId w:val="1"/>
              </w:numPr>
              <w:ind w:left="706" w:hanging="706"/>
            </w:pPr>
            <w:r w:rsidRPr="007879DB">
              <w:t>Identify major points of vulnerability in the nation’s transportation, agriculture, food, water, energy, and communications infrastructure and borders.</w:t>
            </w:r>
          </w:p>
          <w:p w:rsidR="006B0689" w:rsidRPr="007879DB" w:rsidRDefault="006B0689" w:rsidP="002F23D3">
            <w:pPr>
              <w:numPr>
                <w:ilvl w:val="2"/>
                <w:numId w:val="1"/>
              </w:numPr>
              <w:ind w:left="706" w:hanging="706"/>
            </w:pPr>
            <w:r w:rsidRPr="007879DB">
              <w:t>Identify techniques to protect and secure infrastructure and borders.</w:t>
            </w:r>
          </w:p>
          <w:p w:rsidR="006B0689" w:rsidRPr="007879DB" w:rsidRDefault="006B0689" w:rsidP="002F23D3">
            <w:pPr>
              <w:numPr>
                <w:ilvl w:val="2"/>
                <w:numId w:val="1"/>
              </w:numPr>
              <w:ind w:left="706" w:hanging="706"/>
            </w:pPr>
            <w:r w:rsidRPr="007879DB">
              <w:t>Describe the National Infrastructure Protection Plan (NIPP) and the role of the emergency responder.</w:t>
            </w:r>
          </w:p>
          <w:p w:rsidR="006B0689" w:rsidRPr="007879DB" w:rsidRDefault="006B0689" w:rsidP="002F23D3">
            <w:pPr>
              <w:numPr>
                <w:ilvl w:val="2"/>
                <w:numId w:val="1"/>
              </w:numPr>
              <w:ind w:left="706" w:hanging="706"/>
            </w:pPr>
            <w:r w:rsidRPr="007879DB">
              <w:t>Describe local, state, and federal agencies that protect the nation’s infrastructure and borders.</w:t>
            </w:r>
          </w:p>
          <w:p w:rsidR="006B0689" w:rsidRPr="007879DB" w:rsidRDefault="006B0689" w:rsidP="002F23D3">
            <w:pPr>
              <w:numPr>
                <w:ilvl w:val="2"/>
                <w:numId w:val="1"/>
              </w:numPr>
              <w:ind w:left="706" w:hanging="706"/>
            </w:pPr>
            <w:r w:rsidRPr="007879DB">
              <w:t>Implement emergency operations plan in response to an attack on infrastructure or borders.</w:t>
            </w:r>
          </w:p>
        </w:tc>
      </w:tr>
      <w:tr w:rsidR="006B0689" w:rsidRPr="007879DB" w:rsidTr="006B0689">
        <w:tc>
          <w:tcPr>
            <w:tcW w:w="905" w:type="pct"/>
            <w:shd w:val="clear" w:color="auto" w:fill="B8CCE4" w:themeFill="accent1" w:themeFillTint="66"/>
          </w:tcPr>
          <w:p w:rsidR="006B0689" w:rsidRPr="007879DB" w:rsidRDefault="006B0689" w:rsidP="002F23D3">
            <w:pPr>
              <w:rPr>
                <w:b/>
              </w:rPr>
            </w:pPr>
            <w:r w:rsidRPr="007879DB">
              <w:rPr>
                <w:b/>
              </w:rPr>
              <w:t>Pathways</w:t>
            </w:r>
          </w:p>
        </w:tc>
        <w:tc>
          <w:tcPr>
            <w:tcW w:w="235" w:type="pct"/>
            <w:tcBorders>
              <w:right w:val="nil"/>
            </w:tcBorders>
          </w:tcPr>
          <w:p w:rsidR="006B0689" w:rsidRPr="007879DB" w:rsidRDefault="006B0689" w:rsidP="002F23D3">
            <w:pPr>
              <w:jc w:val="center"/>
            </w:pPr>
            <w:r w:rsidRPr="007879DB">
              <w:t>X</w:t>
            </w:r>
          </w:p>
        </w:tc>
        <w:tc>
          <w:tcPr>
            <w:tcW w:w="1786" w:type="pct"/>
            <w:gridSpan w:val="3"/>
            <w:tcBorders>
              <w:left w:val="nil"/>
            </w:tcBorders>
            <w:shd w:val="clear" w:color="auto" w:fill="B8CCE4" w:themeFill="accent1" w:themeFillTint="66"/>
          </w:tcPr>
          <w:p w:rsidR="006B0689" w:rsidRPr="007879DB" w:rsidRDefault="006B0689" w:rsidP="002F23D3">
            <w:r w:rsidRPr="007879DB">
              <w:t>Criminal Justice</w:t>
            </w:r>
          </w:p>
        </w:tc>
        <w:tc>
          <w:tcPr>
            <w:tcW w:w="329" w:type="pct"/>
            <w:tcBorders>
              <w:right w:val="nil"/>
            </w:tcBorders>
          </w:tcPr>
          <w:p w:rsidR="006B0689" w:rsidRPr="007879DB" w:rsidRDefault="006B0689" w:rsidP="002F23D3">
            <w:pPr>
              <w:jc w:val="center"/>
            </w:pPr>
            <w:r w:rsidRPr="007879DB">
              <w:t>X</w:t>
            </w:r>
          </w:p>
        </w:tc>
        <w:tc>
          <w:tcPr>
            <w:tcW w:w="1745" w:type="pct"/>
            <w:gridSpan w:val="3"/>
            <w:tcBorders>
              <w:left w:val="nil"/>
            </w:tcBorders>
            <w:shd w:val="clear" w:color="auto" w:fill="B8CCE4" w:themeFill="accent1" w:themeFillTint="66"/>
          </w:tcPr>
          <w:p w:rsidR="006B0689" w:rsidRPr="007879DB" w:rsidRDefault="006B0689" w:rsidP="002F23D3">
            <w:r w:rsidRPr="007879DB">
              <w:t>Fire</w:t>
            </w:r>
          </w:p>
        </w:tc>
      </w:tr>
      <w:tr w:rsidR="006B0689" w:rsidRPr="007879DB" w:rsidTr="006B0689">
        <w:tc>
          <w:tcPr>
            <w:tcW w:w="905" w:type="pct"/>
            <w:shd w:val="clear" w:color="auto" w:fill="B8CCE4" w:themeFill="accent1" w:themeFillTint="66"/>
          </w:tcPr>
          <w:p w:rsidR="006B0689" w:rsidRPr="007879DB" w:rsidRDefault="006B0689" w:rsidP="002F23D3">
            <w:pPr>
              <w:rPr>
                <w:b/>
              </w:rPr>
            </w:pPr>
            <w:r w:rsidRPr="007879DB">
              <w:rPr>
                <w:b/>
              </w:rPr>
              <w:lastRenderedPageBreak/>
              <w:t>Green Practices</w:t>
            </w:r>
          </w:p>
        </w:tc>
        <w:tc>
          <w:tcPr>
            <w:tcW w:w="235" w:type="pct"/>
            <w:tcBorders>
              <w:right w:val="nil"/>
            </w:tcBorders>
          </w:tcPr>
          <w:p w:rsidR="006B0689" w:rsidRPr="007879DB" w:rsidRDefault="006B0689" w:rsidP="002F23D3">
            <w:pPr>
              <w:jc w:val="center"/>
            </w:pPr>
          </w:p>
        </w:tc>
        <w:tc>
          <w:tcPr>
            <w:tcW w:w="940" w:type="pct"/>
            <w:tcBorders>
              <w:left w:val="nil"/>
            </w:tcBorders>
            <w:shd w:val="clear" w:color="auto" w:fill="B8CCE4" w:themeFill="accent1" w:themeFillTint="66"/>
          </w:tcPr>
          <w:p w:rsidR="006B0689" w:rsidRPr="007879DB" w:rsidRDefault="006B0689" w:rsidP="002F23D3">
            <w:r w:rsidRPr="007879DB">
              <w:t>Green-specific</w:t>
            </w:r>
          </w:p>
        </w:tc>
        <w:tc>
          <w:tcPr>
            <w:tcW w:w="235" w:type="pct"/>
            <w:tcBorders>
              <w:right w:val="nil"/>
            </w:tcBorders>
          </w:tcPr>
          <w:p w:rsidR="006B0689" w:rsidRPr="007879DB" w:rsidRDefault="006B0689" w:rsidP="002F23D3"/>
        </w:tc>
        <w:tc>
          <w:tcPr>
            <w:tcW w:w="1222" w:type="pct"/>
            <w:gridSpan w:val="3"/>
            <w:tcBorders>
              <w:left w:val="nil"/>
            </w:tcBorders>
            <w:shd w:val="clear" w:color="auto" w:fill="B8CCE4" w:themeFill="accent1" w:themeFillTint="66"/>
          </w:tcPr>
          <w:p w:rsidR="006B0689" w:rsidRPr="007879DB" w:rsidRDefault="006B0689" w:rsidP="002F23D3">
            <w:r w:rsidRPr="007879DB">
              <w:t>Context-dependent</w:t>
            </w:r>
          </w:p>
        </w:tc>
        <w:tc>
          <w:tcPr>
            <w:tcW w:w="235" w:type="pct"/>
            <w:tcBorders>
              <w:right w:val="nil"/>
            </w:tcBorders>
          </w:tcPr>
          <w:p w:rsidR="006B0689" w:rsidRPr="007879DB" w:rsidRDefault="006B0689" w:rsidP="002F23D3">
            <w:r w:rsidRPr="007879DB">
              <w:t>X</w:t>
            </w:r>
          </w:p>
        </w:tc>
        <w:tc>
          <w:tcPr>
            <w:tcW w:w="1228" w:type="pct"/>
            <w:tcBorders>
              <w:left w:val="nil"/>
            </w:tcBorders>
            <w:shd w:val="clear" w:color="auto" w:fill="B8CCE4" w:themeFill="accent1" w:themeFillTint="66"/>
          </w:tcPr>
          <w:p w:rsidR="006B0689" w:rsidRPr="007879DB" w:rsidRDefault="006B0689" w:rsidP="002F23D3">
            <w:r w:rsidRPr="007879DB">
              <w:t>Does not apply</w:t>
            </w:r>
          </w:p>
        </w:tc>
      </w:tr>
    </w:tbl>
    <w:p w:rsidR="006B0689" w:rsidRPr="007879DB" w:rsidRDefault="006B0689" w:rsidP="006B0689">
      <w:pPr>
        <w:rPr>
          <w:rFonts w:ascii="Calibri" w:eastAsia="Calibri" w:hAnsi="Calibri" w:cs="Times New Roman"/>
        </w:rPr>
      </w:pPr>
    </w:p>
    <w:tbl>
      <w:tblPr>
        <w:tblStyle w:val="TableGrid14"/>
        <w:tblW w:w="5000" w:type="pct"/>
        <w:tblLook w:val="04A0" w:firstRow="1" w:lastRow="0" w:firstColumn="1" w:lastColumn="0" w:noHBand="0" w:noVBand="1"/>
      </w:tblPr>
      <w:tblGrid>
        <w:gridCol w:w="1730"/>
        <w:gridCol w:w="451"/>
        <w:gridCol w:w="1800"/>
        <w:gridCol w:w="450"/>
        <w:gridCol w:w="1170"/>
        <w:gridCol w:w="630"/>
        <w:gridCol w:w="540"/>
        <w:gridCol w:w="450"/>
        <w:gridCol w:w="2338"/>
        <w:gridCol w:w="17"/>
      </w:tblGrid>
      <w:tr w:rsidR="006B0689" w:rsidRPr="007879DB" w:rsidTr="002F23D3">
        <w:trPr>
          <w:gridAfter w:val="1"/>
          <w:wAfter w:w="9" w:type="pct"/>
        </w:trPr>
        <w:tc>
          <w:tcPr>
            <w:tcW w:w="903"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B0689" w:rsidRPr="007879DB" w:rsidRDefault="006B0689" w:rsidP="002F23D3">
            <w:pPr>
              <w:rPr>
                <w:b/>
              </w:rPr>
            </w:pPr>
            <w:r w:rsidRPr="007879DB">
              <w:rPr>
                <w:b/>
              </w:rPr>
              <w:t>Outcome</w:t>
            </w:r>
          </w:p>
        </w:tc>
        <w:tc>
          <w:tcPr>
            <w:tcW w:w="4088" w:type="pct"/>
            <w:gridSpan w:val="8"/>
            <w:tcBorders>
              <w:top w:val="single" w:sz="4" w:space="0" w:color="auto"/>
              <w:left w:val="single" w:sz="4" w:space="0" w:color="auto"/>
              <w:bottom w:val="single" w:sz="4" w:space="0" w:color="auto"/>
              <w:right w:val="single" w:sz="4" w:space="0" w:color="auto"/>
            </w:tcBorders>
          </w:tcPr>
          <w:p w:rsidR="006B0689" w:rsidRPr="007879DB" w:rsidRDefault="006B0689" w:rsidP="002F23D3">
            <w:pPr>
              <w:numPr>
                <w:ilvl w:val="1"/>
                <w:numId w:val="1"/>
              </w:numPr>
              <w:ind w:left="520" w:hanging="520"/>
            </w:pPr>
            <w:r w:rsidRPr="007879DB">
              <w:t>Intelligence Gathering: Describe intelligence gathering activities on threat analysis.</w:t>
            </w:r>
          </w:p>
        </w:tc>
      </w:tr>
      <w:tr w:rsidR="006B0689" w:rsidRPr="007879DB" w:rsidTr="002F23D3">
        <w:trPr>
          <w:gridAfter w:val="1"/>
          <w:wAfter w:w="9" w:type="pct"/>
        </w:trPr>
        <w:tc>
          <w:tcPr>
            <w:tcW w:w="903" w:type="pct"/>
            <w:tcBorders>
              <w:top w:val="single" w:sz="4" w:space="0" w:color="auto"/>
              <w:left w:val="single" w:sz="4" w:space="0" w:color="auto"/>
              <w:bottom w:val="nil"/>
              <w:right w:val="single" w:sz="4" w:space="0" w:color="auto"/>
            </w:tcBorders>
            <w:shd w:val="clear" w:color="auto" w:fill="B8CCE4" w:themeFill="accent1" w:themeFillTint="66"/>
            <w:hideMark/>
          </w:tcPr>
          <w:p w:rsidR="006B0689" w:rsidRPr="007879DB" w:rsidRDefault="006B0689" w:rsidP="002F23D3">
            <w:pPr>
              <w:rPr>
                <w:b/>
              </w:rPr>
            </w:pPr>
            <w:r w:rsidRPr="007879DB">
              <w:rPr>
                <w:b/>
              </w:rPr>
              <w:t>Competencies</w:t>
            </w:r>
          </w:p>
        </w:tc>
        <w:tc>
          <w:tcPr>
            <w:tcW w:w="4088" w:type="pct"/>
            <w:gridSpan w:val="8"/>
            <w:tcBorders>
              <w:top w:val="single" w:sz="4" w:space="0" w:color="auto"/>
              <w:left w:val="single" w:sz="4" w:space="0" w:color="auto"/>
              <w:bottom w:val="single" w:sz="4" w:space="0" w:color="auto"/>
              <w:right w:val="single" w:sz="4" w:space="0" w:color="auto"/>
            </w:tcBorders>
          </w:tcPr>
          <w:p w:rsidR="006B0689" w:rsidRPr="007879DB" w:rsidRDefault="006B0689" w:rsidP="002F23D3">
            <w:pPr>
              <w:numPr>
                <w:ilvl w:val="2"/>
                <w:numId w:val="1"/>
              </w:numPr>
              <w:ind w:left="706" w:hanging="706"/>
            </w:pPr>
            <w:r w:rsidRPr="007879DB">
              <w:t>Apply legal issues related to intelligence gathering activities to prevent domestic and international terrorism (e.g., Patriot Act, homeland security, presidential directives).</w:t>
            </w:r>
          </w:p>
          <w:p w:rsidR="006B0689" w:rsidRPr="007879DB" w:rsidRDefault="006B0689" w:rsidP="002F23D3">
            <w:pPr>
              <w:numPr>
                <w:ilvl w:val="2"/>
                <w:numId w:val="1"/>
              </w:numPr>
              <w:ind w:left="706" w:hanging="706"/>
            </w:pPr>
            <w:r w:rsidRPr="007879DB">
              <w:t>Describe the local, state, and federal agencies involved in intelligence gathering.</w:t>
            </w:r>
          </w:p>
          <w:p w:rsidR="006B0689" w:rsidRPr="007879DB" w:rsidRDefault="006B0689" w:rsidP="002F23D3">
            <w:pPr>
              <w:numPr>
                <w:ilvl w:val="2"/>
                <w:numId w:val="1"/>
              </w:numPr>
              <w:ind w:left="706" w:hanging="706"/>
            </w:pPr>
            <w:r w:rsidRPr="007879DB">
              <w:t>Identify and describe barriers to the gathering and sharing of intelligence by agencies and the role of the Director of National Intelligence.</w:t>
            </w:r>
          </w:p>
          <w:p w:rsidR="006B0689" w:rsidRPr="007879DB" w:rsidRDefault="006B0689" w:rsidP="002F23D3">
            <w:pPr>
              <w:numPr>
                <w:ilvl w:val="2"/>
                <w:numId w:val="1"/>
              </w:numPr>
              <w:ind w:left="706" w:hanging="706"/>
            </w:pPr>
            <w:r w:rsidRPr="007879DB">
              <w:t>Describe strategies used to gather and evaluate domestic and international intelligence information.</w:t>
            </w:r>
          </w:p>
          <w:p w:rsidR="006B0689" w:rsidRPr="007879DB" w:rsidRDefault="006B0689" w:rsidP="002F23D3">
            <w:pPr>
              <w:numPr>
                <w:ilvl w:val="2"/>
                <w:numId w:val="1"/>
              </w:numPr>
              <w:ind w:left="706" w:hanging="706"/>
            </w:pPr>
            <w:r w:rsidRPr="007879DB">
              <w:t>Use intelligence to develop a threat and vulnerability assessment against a target.</w:t>
            </w:r>
          </w:p>
        </w:tc>
      </w:tr>
      <w:tr w:rsidR="006B0689" w:rsidRPr="007879DB" w:rsidTr="002F23D3">
        <w:tc>
          <w:tcPr>
            <w:tcW w:w="903" w:type="pct"/>
            <w:shd w:val="clear" w:color="auto" w:fill="B8CCE4" w:themeFill="accent1" w:themeFillTint="66"/>
          </w:tcPr>
          <w:p w:rsidR="006B0689" w:rsidRPr="007879DB" w:rsidRDefault="006B0689" w:rsidP="002F23D3">
            <w:pPr>
              <w:rPr>
                <w:b/>
              </w:rPr>
            </w:pPr>
            <w:r w:rsidRPr="007879DB">
              <w:rPr>
                <w:b/>
              </w:rPr>
              <w:t>Pathways</w:t>
            </w:r>
          </w:p>
        </w:tc>
        <w:tc>
          <w:tcPr>
            <w:tcW w:w="235" w:type="pct"/>
            <w:tcBorders>
              <w:right w:val="nil"/>
            </w:tcBorders>
          </w:tcPr>
          <w:p w:rsidR="006B0689" w:rsidRPr="007879DB" w:rsidRDefault="006B0689" w:rsidP="002F23D3">
            <w:pPr>
              <w:jc w:val="center"/>
            </w:pPr>
            <w:r w:rsidRPr="007879DB">
              <w:t>X</w:t>
            </w:r>
          </w:p>
        </w:tc>
        <w:tc>
          <w:tcPr>
            <w:tcW w:w="1786" w:type="pct"/>
            <w:gridSpan w:val="3"/>
            <w:tcBorders>
              <w:left w:val="nil"/>
            </w:tcBorders>
            <w:shd w:val="clear" w:color="auto" w:fill="B8CCE4" w:themeFill="accent1" w:themeFillTint="66"/>
          </w:tcPr>
          <w:p w:rsidR="006B0689" w:rsidRPr="007879DB" w:rsidRDefault="006B0689" w:rsidP="002F23D3">
            <w:r w:rsidRPr="007879DB">
              <w:t>Criminal Justice</w:t>
            </w:r>
          </w:p>
        </w:tc>
        <w:tc>
          <w:tcPr>
            <w:tcW w:w="329" w:type="pct"/>
            <w:tcBorders>
              <w:right w:val="nil"/>
            </w:tcBorders>
          </w:tcPr>
          <w:p w:rsidR="006B0689" w:rsidRPr="007879DB" w:rsidRDefault="006B0689" w:rsidP="002F23D3">
            <w:pPr>
              <w:jc w:val="center"/>
            </w:pPr>
          </w:p>
        </w:tc>
        <w:tc>
          <w:tcPr>
            <w:tcW w:w="1747" w:type="pct"/>
            <w:gridSpan w:val="4"/>
            <w:tcBorders>
              <w:left w:val="nil"/>
            </w:tcBorders>
            <w:shd w:val="clear" w:color="auto" w:fill="B8CCE4" w:themeFill="accent1" w:themeFillTint="66"/>
          </w:tcPr>
          <w:p w:rsidR="006B0689" w:rsidRPr="007879DB" w:rsidRDefault="006B0689" w:rsidP="002F23D3">
            <w:r w:rsidRPr="007879DB">
              <w:t>Fire</w:t>
            </w:r>
          </w:p>
        </w:tc>
      </w:tr>
      <w:tr w:rsidR="006B0689" w:rsidRPr="007879DB" w:rsidTr="002F23D3">
        <w:tc>
          <w:tcPr>
            <w:tcW w:w="903" w:type="pct"/>
            <w:shd w:val="clear" w:color="auto" w:fill="B8CCE4" w:themeFill="accent1" w:themeFillTint="66"/>
          </w:tcPr>
          <w:p w:rsidR="006B0689" w:rsidRPr="007879DB" w:rsidRDefault="006B0689" w:rsidP="002F23D3">
            <w:pPr>
              <w:rPr>
                <w:b/>
              </w:rPr>
            </w:pPr>
            <w:r w:rsidRPr="007879DB">
              <w:rPr>
                <w:b/>
              </w:rPr>
              <w:t>Green Practices</w:t>
            </w:r>
          </w:p>
        </w:tc>
        <w:tc>
          <w:tcPr>
            <w:tcW w:w="235" w:type="pct"/>
            <w:tcBorders>
              <w:right w:val="nil"/>
            </w:tcBorders>
          </w:tcPr>
          <w:p w:rsidR="006B0689" w:rsidRPr="007879DB" w:rsidRDefault="006B0689" w:rsidP="002F23D3">
            <w:pPr>
              <w:jc w:val="center"/>
            </w:pPr>
          </w:p>
        </w:tc>
        <w:tc>
          <w:tcPr>
            <w:tcW w:w="940" w:type="pct"/>
            <w:tcBorders>
              <w:left w:val="nil"/>
            </w:tcBorders>
            <w:shd w:val="clear" w:color="auto" w:fill="B8CCE4" w:themeFill="accent1" w:themeFillTint="66"/>
          </w:tcPr>
          <w:p w:rsidR="006B0689" w:rsidRPr="007879DB" w:rsidRDefault="006B0689" w:rsidP="002F23D3">
            <w:r w:rsidRPr="007879DB">
              <w:t>Green-specific</w:t>
            </w:r>
          </w:p>
        </w:tc>
        <w:tc>
          <w:tcPr>
            <w:tcW w:w="235" w:type="pct"/>
            <w:tcBorders>
              <w:right w:val="nil"/>
            </w:tcBorders>
          </w:tcPr>
          <w:p w:rsidR="006B0689" w:rsidRPr="007879DB" w:rsidRDefault="006B0689" w:rsidP="002F23D3"/>
        </w:tc>
        <w:tc>
          <w:tcPr>
            <w:tcW w:w="1222" w:type="pct"/>
            <w:gridSpan w:val="3"/>
            <w:tcBorders>
              <w:left w:val="nil"/>
            </w:tcBorders>
            <w:shd w:val="clear" w:color="auto" w:fill="B8CCE4" w:themeFill="accent1" w:themeFillTint="66"/>
          </w:tcPr>
          <w:p w:rsidR="006B0689" w:rsidRPr="007879DB" w:rsidRDefault="006B0689" w:rsidP="002F23D3">
            <w:r w:rsidRPr="007879DB">
              <w:t>Context-dependent</w:t>
            </w:r>
          </w:p>
        </w:tc>
        <w:tc>
          <w:tcPr>
            <w:tcW w:w="235" w:type="pct"/>
            <w:tcBorders>
              <w:right w:val="nil"/>
            </w:tcBorders>
          </w:tcPr>
          <w:p w:rsidR="006B0689" w:rsidRPr="007879DB" w:rsidRDefault="006B0689" w:rsidP="002F23D3">
            <w:r w:rsidRPr="007879DB">
              <w:t>X</w:t>
            </w:r>
          </w:p>
        </w:tc>
        <w:tc>
          <w:tcPr>
            <w:tcW w:w="1230" w:type="pct"/>
            <w:gridSpan w:val="2"/>
            <w:tcBorders>
              <w:left w:val="nil"/>
            </w:tcBorders>
            <w:shd w:val="clear" w:color="auto" w:fill="B8CCE4" w:themeFill="accent1" w:themeFillTint="66"/>
          </w:tcPr>
          <w:p w:rsidR="006B0689" w:rsidRPr="007879DB" w:rsidRDefault="006B0689" w:rsidP="002F23D3">
            <w:r w:rsidRPr="007879DB">
              <w:t>Does not apply</w:t>
            </w:r>
          </w:p>
        </w:tc>
      </w:tr>
    </w:tbl>
    <w:p w:rsidR="006B0689" w:rsidRPr="007879DB" w:rsidRDefault="006B0689" w:rsidP="006B0689">
      <w:pPr>
        <w:rPr>
          <w:rFonts w:ascii="Calibri" w:eastAsia="Calibri" w:hAnsi="Calibri" w:cs="Times New Roman"/>
        </w:rPr>
      </w:pPr>
    </w:p>
    <w:tbl>
      <w:tblPr>
        <w:tblStyle w:val="TableGrid14"/>
        <w:tblW w:w="5000" w:type="pct"/>
        <w:tblLook w:val="04A0" w:firstRow="1" w:lastRow="0" w:firstColumn="1" w:lastColumn="0" w:noHBand="0" w:noVBand="1"/>
      </w:tblPr>
      <w:tblGrid>
        <w:gridCol w:w="1728"/>
        <w:gridCol w:w="450"/>
        <w:gridCol w:w="1800"/>
        <w:gridCol w:w="450"/>
        <w:gridCol w:w="1170"/>
        <w:gridCol w:w="630"/>
        <w:gridCol w:w="540"/>
        <w:gridCol w:w="450"/>
        <w:gridCol w:w="2358"/>
      </w:tblGrid>
      <w:tr w:rsidR="006B0689" w:rsidRPr="007879DB" w:rsidTr="002F23D3">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B0689" w:rsidRPr="007879DB" w:rsidRDefault="006B0689" w:rsidP="002F23D3">
            <w:pPr>
              <w:rPr>
                <w:b/>
              </w:rPr>
            </w:pPr>
            <w:r w:rsidRPr="007879DB">
              <w:rPr>
                <w:b/>
              </w:rPr>
              <w:t>Outcome</w:t>
            </w:r>
          </w:p>
        </w:tc>
        <w:tc>
          <w:tcPr>
            <w:tcW w:w="4203" w:type="pct"/>
            <w:gridSpan w:val="8"/>
            <w:tcBorders>
              <w:top w:val="single" w:sz="4" w:space="0" w:color="auto"/>
              <w:left w:val="single" w:sz="4" w:space="0" w:color="auto"/>
              <w:bottom w:val="single" w:sz="4" w:space="0" w:color="auto"/>
              <w:right w:val="single" w:sz="4" w:space="0" w:color="auto"/>
            </w:tcBorders>
          </w:tcPr>
          <w:p w:rsidR="006B0689" w:rsidRPr="007879DB" w:rsidRDefault="006B0689" w:rsidP="002F23D3">
            <w:pPr>
              <w:numPr>
                <w:ilvl w:val="1"/>
                <w:numId w:val="1"/>
              </w:numPr>
              <w:ind w:left="702" w:hanging="702"/>
            </w:pPr>
            <w:r w:rsidRPr="007879DB">
              <w:t>Hazardous Materials: Identify and describe procedures for reacting to a chemical, biological, radiological, nuclear, and high-yield explosive (CBRNE).</w:t>
            </w:r>
          </w:p>
        </w:tc>
      </w:tr>
      <w:tr w:rsidR="006B0689" w:rsidRPr="007879DB" w:rsidTr="002F23D3">
        <w:tc>
          <w:tcPr>
            <w:tcW w:w="0" w:type="auto"/>
            <w:tcBorders>
              <w:top w:val="single" w:sz="4" w:space="0" w:color="auto"/>
              <w:left w:val="single" w:sz="4" w:space="0" w:color="auto"/>
              <w:bottom w:val="nil"/>
              <w:right w:val="single" w:sz="4" w:space="0" w:color="auto"/>
            </w:tcBorders>
            <w:shd w:val="clear" w:color="auto" w:fill="B8CCE4" w:themeFill="accent1" w:themeFillTint="66"/>
            <w:hideMark/>
          </w:tcPr>
          <w:p w:rsidR="006B0689" w:rsidRPr="007879DB" w:rsidRDefault="006B0689" w:rsidP="002F23D3">
            <w:pPr>
              <w:rPr>
                <w:b/>
              </w:rPr>
            </w:pPr>
            <w:r w:rsidRPr="007879DB">
              <w:rPr>
                <w:b/>
              </w:rPr>
              <w:t>Competencies</w:t>
            </w:r>
          </w:p>
        </w:tc>
        <w:tc>
          <w:tcPr>
            <w:tcW w:w="4203" w:type="pct"/>
            <w:gridSpan w:val="8"/>
            <w:tcBorders>
              <w:top w:val="single" w:sz="4" w:space="0" w:color="auto"/>
              <w:left w:val="single" w:sz="4" w:space="0" w:color="auto"/>
              <w:bottom w:val="single" w:sz="4" w:space="0" w:color="auto"/>
              <w:right w:val="single" w:sz="4" w:space="0" w:color="auto"/>
            </w:tcBorders>
          </w:tcPr>
          <w:p w:rsidR="006B0689" w:rsidRPr="007879DB" w:rsidRDefault="006B0689" w:rsidP="002F23D3">
            <w:pPr>
              <w:numPr>
                <w:ilvl w:val="2"/>
                <w:numId w:val="1"/>
              </w:numPr>
              <w:ind w:left="792" w:hanging="792"/>
            </w:pPr>
            <w:r w:rsidRPr="007879DB">
              <w:t>Identify possible targets and outcomes of CBRNE attacks and procedures to prevent and mitigate the threat.</w:t>
            </w:r>
          </w:p>
          <w:p w:rsidR="006B0689" w:rsidRPr="007879DB" w:rsidRDefault="006B0689" w:rsidP="002F23D3">
            <w:pPr>
              <w:numPr>
                <w:ilvl w:val="2"/>
                <w:numId w:val="1"/>
              </w:numPr>
              <w:ind w:left="792" w:hanging="792"/>
            </w:pPr>
            <w:r w:rsidRPr="007879DB">
              <w:t xml:space="preserve">Summarize the types of thermal, radiological, asphyxiation, chemical, etiological, </w:t>
            </w:r>
            <w:proofErr w:type="gramStart"/>
            <w:r w:rsidRPr="007879DB">
              <w:t>mechanical(</w:t>
            </w:r>
            <w:proofErr w:type="gramEnd"/>
            <w:r w:rsidRPr="007879DB">
              <w:t>TRACEM) agents, behaviors, hazards, and harm.</w:t>
            </w:r>
          </w:p>
          <w:p w:rsidR="006B0689" w:rsidRPr="007879DB" w:rsidRDefault="006B0689" w:rsidP="002F23D3">
            <w:pPr>
              <w:numPr>
                <w:ilvl w:val="2"/>
                <w:numId w:val="1"/>
              </w:numPr>
              <w:ind w:left="792" w:hanging="792"/>
            </w:pPr>
            <w:r w:rsidRPr="007879DB">
              <w:t>Implement self-protective measures (e.g., shielding, time, distance) based on type of TRACEM incident.</w:t>
            </w:r>
          </w:p>
          <w:p w:rsidR="006B0689" w:rsidRPr="007879DB" w:rsidRDefault="006B0689" w:rsidP="002F23D3">
            <w:pPr>
              <w:numPr>
                <w:ilvl w:val="2"/>
                <w:numId w:val="1"/>
              </w:numPr>
              <w:ind w:left="792" w:hanging="792"/>
            </w:pPr>
            <w:r w:rsidRPr="007879DB">
              <w:t>Cite evidence and evaluate warning signs of CBRNE incidents.</w:t>
            </w:r>
          </w:p>
          <w:p w:rsidR="006B0689" w:rsidRPr="007879DB" w:rsidRDefault="006B0689" w:rsidP="002F23D3">
            <w:pPr>
              <w:numPr>
                <w:ilvl w:val="2"/>
                <w:numId w:val="1"/>
              </w:numPr>
              <w:ind w:left="792" w:hanging="792"/>
            </w:pPr>
            <w:r w:rsidRPr="007879DB">
              <w:t>Classify material and summarize response measures that should be taken with a CBRNE incident.</w:t>
            </w:r>
          </w:p>
          <w:p w:rsidR="006B0689" w:rsidRPr="007879DB" w:rsidRDefault="006B0689" w:rsidP="002F23D3">
            <w:pPr>
              <w:numPr>
                <w:ilvl w:val="2"/>
                <w:numId w:val="1"/>
              </w:numPr>
              <w:ind w:left="792" w:hanging="792"/>
            </w:pPr>
            <w:r w:rsidRPr="007879DB">
              <w:t>Draw conclusions based on hazard identity and physical environment to develop a scene control plan.</w:t>
            </w:r>
          </w:p>
          <w:p w:rsidR="006B0689" w:rsidRPr="007879DB" w:rsidRDefault="006B0689" w:rsidP="002F23D3">
            <w:pPr>
              <w:numPr>
                <w:ilvl w:val="2"/>
                <w:numId w:val="1"/>
              </w:numPr>
              <w:ind w:left="792" w:hanging="792"/>
            </w:pPr>
            <w:r w:rsidRPr="007879DB">
              <w:t>Use detection equipment to identify CBRNE agents and conduct a hazard and risk assessment.</w:t>
            </w:r>
          </w:p>
          <w:p w:rsidR="006B0689" w:rsidRPr="007879DB" w:rsidRDefault="006B0689" w:rsidP="002F23D3">
            <w:pPr>
              <w:numPr>
                <w:ilvl w:val="2"/>
                <w:numId w:val="1"/>
              </w:numPr>
              <w:ind w:left="792" w:hanging="792"/>
            </w:pPr>
            <w:r w:rsidRPr="007879DB">
              <w:t>Recognize the signs and symptoms of CBRNE agent exposure and formulate first aid, triage, and fatality management procedures.</w:t>
            </w:r>
          </w:p>
          <w:p w:rsidR="006B0689" w:rsidRPr="007879DB" w:rsidRDefault="006B0689" w:rsidP="002F23D3">
            <w:pPr>
              <w:numPr>
                <w:ilvl w:val="2"/>
                <w:numId w:val="1"/>
              </w:numPr>
              <w:ind w:left="792" w:hanging="792"/>
            </w:pPr>
            <w:r w:rsidRPr="007879DB">
              <w:t>Control and contain CBRNE agents and decontaminate self, victims, site, equipment, and mass casualties based on chemical, biological, or radiological agent.</w:t>
            </w:r>
          </w:p>
          <w:p w:rsidR="006B0689" w:rsidRPr="007879DB" w:rsidRDefault="006B0689" w:rsidP="002F23D3">
            <w:pPr>
              <w:numPr>
                <w:ilvl w:val="2"/>
                <w:numId w:val="1"/>
              </w:numPr>
              <w:ind w:left="792" w:hanging="792"/>
            </w:pPr>
            <w:r w:rsidRPr="007879DB">
              <w:t>Describe the unique crime scene and evidence preservation issues associated with a CBRNE incident.</w:t>
            </w:r>
          </w:p>
          <w:p w:rsidR="006B0689" w:rsidRPr="007879DB" w:rsidRDefault="006B0689" w:rsidP="002F23D3">
            <w:pPr>
              <w:numPr>
                <w:ilvl w:val="2"/>
                <w:numId w:val="1"/>
              </w:numPr>
              <w:ind w:left="792" w:hanging="792"/>
            </w:pPr>
            <w:r w:rsidRPr="007879DB">
              <w:t>Plan the transition from the response phase to the recovery phase in a CBRNE incident.</w:t>
            </w:r>
          </w:p>
        </w:tc>
      </w:tr>
      <w:tr w:rsidR="006B0689" w:rsidRPr="007879DB" w:rsidTr="002F23D3">
        <w:tc>
          <w:tcPr>
            <w:tcW w:w="902" w:type="pct"/>
            <w:shd w:val="clear" w:color="auto" w:fill="B8CCE4" w:themeFill="accent1" w:themeFillTint="66"/>
          </w:tcPr>
          <w:p w:rsidR="006B0689" w:rsidRPr="007879DB" w:rsidRDefault="006B0689" w:rsidP="002F23D3">
            <w:pPr>
              <w:rPr>
                <w:b/>
              </w:rPr>
            </w:pPr>
            <w:r w:rsidRPr="007879DB">
              <w:rPr>
                <w:b/>
              </w:rPr>
              <w:t>Pathways</w:t>
            </w:r>
          </w:p>
        </w:tc>
        <w:tc>
          <w:tcPr>
            <w:tcW w:w="235" w:type="pct"/>
            <w:tcBorders>
              <w:right w:val="nil"/>
            </w:tcBorders>
          </w:tcPr>
          <w:p w:rsidR="006B0689" w:rsidRPr="007879DB" w:rsidRDefault="006B0689" w:rsidP="002F23D3">
            <w:pPr>
              <w:jc w:val="center"/>
            </w:pPr>
            <w:r w:rsidRPr="007879DB">
              <w:t>X</w:t>
            </w:r>
          </w:p>
        </w:tc>
        <w:tc>
          <w:tcPr>
            <w:tcW w:w="1786" w:type="pct"/>
            <w:gridSpan w:val="3"/>
            <w:tcBorders>
              <w:left w:val="nil"/>
            </w:tcBorders>
            <w:shd w:val="clear" w:color="auto" w:fill="B8CCE4" w:themeFill="accent1" w:themeFillTint="66"/>
          </w:tcPr>
          <w:p w:rsidR="006B0689" w:rsidRPr="007879DB" w:rsidRDefault="006B0689" w:rsidP="002F23D3">
            <w:r w:rsidRPr="007879DB">
              <w:t>Criminal Justice</w:t>
            </w:r>
          </w:p>
        </w:tc>
        <w:tc>
          <w:tcPr>
            <w:tcW w:w="329" w:type="pct"/>
            <w:tcBorders>
              <w:right w:val="nil"/>
            </w:tcBorders>
          </w:tcPr>
          <w:p w:rsidR="006B0689" w:rsidRPr="007879DB" w:rsidRDefault="006B0689" w:rsidP="002F23D3">
            <w:pPr>
              <w:jc w:val="center"/>
            </w:pPr>
            <w:r w:rsidRPr="007879DB">
              <w:t>X</w:t>
            </w:r>
          </w:p>
        </w:tc>
        <w:tc>
          <w:tcPr>
            <w:tcW w:w="1748" w:type="pct"/>
            <w:gridSpan w:val="3"/>
            <w:tcBorders>
              <w:left w:val="nil"/>
            </w:tcBorders>
            <w:shd w:val="clear" w:color="auto" w:fill="B8CCE4" w:themeFill="accent1" w:themeFillTint="66"/>
          </w:tcPr>
          <w:p w:rsidR="006B0689" w:rsidRPr="007879DB" w:rsidRDefault="006B0689" w:rsidP="002F23D3">
            <w:r w:rsidRPr="007879DB">
              <w:t>Fire</w:t>
            </w:r>
          </w:p>
        </w:tc>
      </w:tr>
      <w:tr w:rsidR="006B0689" w:rsidRPr="007879DB" w:rsidTr="002F23D3">
        <w:tc>
          <w:tcPr>
            <w:tcW w:w="902" w:type="pct"/>
            <w:shd w:val="clear" w:color="auto" w:fill="B8CCE4" w:themeFill="accent1" w:themeFillTint="66"/>
          </w:tcPr>
          <w:p w:rsidR="006B0689" w:rsidRPr="007879DB" w:rsidRDefault="006B0689" w:rsidP="002F23D3">
            <w:pPr>
              <w:rPr>
                <w:b/>
              </w:rPr>
            </w:pPr>
            <w:r w:rsidRPr="007879DB">
              <w:rPr>
                <w:b/>
              </w:rPr>
              <w:t>Green Practices</w:t>
            </w:r>
          </w:p>
        </w:tc>
        <w:tc>
          <w:tcPr>
            <w:tcW w:w="235" w:type="pct"/>
            <w:tcBorders>
              <w:right w:val="nil"/>
            </w:tcBorders>
          </w:tcPr>
          <w:p w:rsidR="006B0689" w:rsidRPr="007879DB" w:rsidRDefault="006B0689" w:rsidP="002F23D3">
            <w:pPr>
              <w:jc w:val="center"/>
            </w:pPr>
          </w:p>
        </w:tc>
        <w:tc>
          <w:tcPr>
            <w:tcW w:w="940" w:type="pct"/>
            <w:tcBorders>
              <w:left w:val="nil"/>
            </w:tcBorders>
            <w:shd w:val="clear" w:color="auto" w:fill="B8CCE4" w:themeFill="accent1" w:themeFillTint="66"/>
          </w:tcPr>
          <w:p w:rsidR="006B0689" w:rsidRPr="007879DB" w:rsidRDefault="006B0689" w:rsidP="002F23D3">
            <w:r w:rsidRPr="007879DB">
              <w:t>Green-specific</w:t>
            </w:r>
          </w:p>
        </w:tc>
        <w:tc>
          <w:tcPr>
            <w:tcW w:w="235" w:type="pct"/>
            <w:tcBorders>
              <w:right w:val="nil"/>
            </w:tcBorders>
          </w:tcPr>
          <w:p w:rsidR="006B0689" w:rsidRPr="007879DB" w:rsidRDefault="006B0689" w:rsidP="002F23D3"/>
        </w:tc>
        <w:tc>
          <w:tcPr>
            <w:tcW w:w="1222" w:type="pct"/>
            <w:gridSpan w:val="3"/>
            <w:tcBorders>
              <w:left w:val="nil"/>
            </w:tcBorders>
            <w:shd w:val="clear" w:color="auto" w:fill="B8CCE4" w:themeFill="accent1" w:themeFillTint="66"/>
          </w:tcPr>
          <w:p w:rsidR="006B0689" w:rsidRPr="007879DB" w:rsidRDefault="006B0689" w:rsidP="002F23D3">
            <w:r w:rsidRPr="007879DB">
              <w:t>Context-dependent</w:t>
            </w:r>
          </w:p>
        </w:tc>
        <w:tc>
          <w:tcPr>
            <w:tcW w:w="235" w:type="pct"/>
            <w:tcBorders>
              <w:right w:val="nil"/>
            </w:tcBorders>
          </w:tcPr>
          <w:p w:rsidR="006B0689" w:rsidRPr="007879DB" w:rsidRDefault="006B0689" w:rsidP="002F23D3">
            <w:r w:rsidRPr="007879DB">
              <w:t>X</w:t>
            </w:r>
          </w:p>
        </w:tc>
        <w:tc>
          <w:tcPr>
            <w:tcW w:w="1231" w:type="pct"/>
            <w:tcBorders>
              <w:left w:val="nil"/>
            </w:tcBorders>
            <w:shd w:val="clear" w:color="auto" w:fill="B8CCE4" w:themeFill="accent1" w:themeFillTint="66"/>
          </w:tcPr>
          <w:p w:rsidR="006B0689" w:rsidRPr="007879DB" w:rsidRDefault="006B0689" w:rsidP="002F23D3">
            <w:r w:rsidRPr="007879DB">
              <w:t>Does not apply</w:t>
            </w:r>
          </w:p>
        </w:tc>
      </w:tr>
    </w:tbl>
    <w:p w:rsidR="006B0689" w:rsidRPr="007879DB" w:rsidRDefault="006B0689" w:rsidP="006B0689">
      <w:pPr>
        <w:rPr>
          <w:rFonts w:ascii="Calibri" w:eastAsia="Calibri" w:hAnsi="Calibri" w:cs="Times New Roman"/>
        </w:rPr>
      </w:pPr>
    </w:p>
    <w:tbl>
      <w:tblPr>
        <w:tblStyle w:val="TableGrid14"/>
        <w:tblW w:w="5000" w:type="pct"/>
        <w:tblLook w:val="04A0" w:firstRow="1" w:lastRow="0" w:firstColumn="1" w:lastColumn="0" w:noHBand="0" w:noVBand="1"/>
      </w:tblPr>
      <w:tblGrid>
        <w:gridCol w:w="1734"/>
        <w:gridCol w:w="450"/>
        <w:gridCol w:w="1800"/>
        <w:gridCol w:w="450"/>
        <w:gridCol w:w="1170"/>
        <w:gridCol w:w="630"/>
        <w:gridCol w:w="540"/>
        <w:gridCol w:w="450"/>
        <w:gridCol w:w="2352"/>
      </w:tblGrid>
      <w:tr w:rsidR="006B0689" w:rsidRPr="007879DB" w:rsidTr="002F23D3">
        <w:tc>
          <w:tcPr>
            <w:tcW w:w="905"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B0689" w:rsidRPr="007879DB" w:rsidRDefault="006B0689" w:rsidP="002F23D3">
            <w:pPr>
              <w:rPr>
                <w:b/>
              </w:rPr>
            </w:pPr>
            <w:r w:rsidRPr="007879DB">
              <w:rPr>
                <w:b/>
              </w:rPr>
              <w:t>Outcome</w:t>
            </w:r>
          </w:p>
        </w:tc>
        <w:tc>
          <w:tcPr>
            <w:tcW w:w="4095" w:type="pct"/>
            <w:gridSpan w:val="8"/>
            <w:tcBorders>
              <w:top w:val="single" w:sz="4" w:space="0" w:color="auto"/>
              <w:left w:val="single" w:sz="4" w:space="0" w:color="auto"/>
              <w:bottom w:val="single" w:sz="4" w:space="0" w:color="auto"/>
              <w:right w:val="single" w:sz="4" w:space="0" w:color="auto"/>
            </w:tcBorders>
          </w:tcPr>
          <w:p w:rsidR="006B0689" w:rsidRPr="007879DB" w:rsidRDefault="006B0689" w:rsidP="002F23D3">
            <w:pPr>
              <w:numPr>
                <w:ilvl w:val="1"/>
                <w:numId w:val="1"/>
              </w:numPr>
              <w:ind w:left="520" w:hanging="520"/>
            </w:pPr>
            <w:r w:rsidRPr="007879DB">
              <w:t xml:space="preserve">Emergency Operations Plan: Describe the all-hazards emergency planning process from development to implementation of an emergency operations </w:t>
            </w:r>
            <w:r w:rsidRPr="007879DB">
              <w:lastRenderedPageBreak/>
              <w:t xml:space="preserve">plan (EOP). </w:t>
            </w:r>
          </w:p>
        </w:tc>
      </w:tr>
      <w:tr w:rsidR="006B0689" w:rsidRPr="007879DB" w:rsidTr="002F23D3">
        <w:tc>
          <w:tcPr>
            <w:tcW w:w="905" w:type="pct"/>
            <w:tcBorders>
              <w:top w:val="single" w:sz="4" w:space="0" w:color="auto"/>
              <w:left w:val="single" w:sz="4" w:space="0" w:color="auto"/>
              <w:bottom w:val="nil"/>
              <w:right w:val="single" w:sz="4" w:space="0" w:color="auto"/>
            </w:tcBorders>
            <w:shd w:val="clear" w:color="auto" w:fill="B8CCE4" w:themeFill="accent1" w:themeFillTint="66"/>
            <w:hideMark/>
          </w:tcPr>
          <w:p w:rsidR="006B0689" w:rsidRPr="007879DB" w:rsidRDefault="006B0689" w:rsidP="002F23D3">
            <w:pPr>
              <w:rPr>
                <w:b/>
              </w:rPr>
            </w:pPr>
            <w:r w:rsidRPr="007879DB">
              <w:rPr>
                <w:b/>
              </w:rPr>
              <w:lastRenderedPageBreak/>
              <w:t>Competencies</w:t>
            </w:r>
          </w:p>
        </w:tc>
        <w:tc>
          <w:tcPr>
            <w:tcW w:w="4095" w:type="pct"/>
            <w:gridSpan w:val="8"/>
            <w:tcBorders>
              <w:top w:val="single" w:sz="4" w:space="0" w:color="auto"/>
              <w:left w:val="single" w:sz="4" w:space="0" w:color="auto"/>
              <w:bottom w:val="single" w:sz="4" w:space="0" w:color="auto"/>
              <w:right w:val="single" w:sz="4" w:space="0" w:color="auto"/>
            </w:tcBorders>
          </w:tcPr>
          <w:p w:rsidR="006B0689" w:rsidRPr="007879DB" w:rsidRDefault="006B0689" w:rsidP="002F23D3">
            <w:pPr>
              <w:numPr>
                <w:ilvl w:val="2"/>
                <w:numId w:val="1"/>
              </w:numPr>
              <w:ind w:left="706" w:hanging="706"/>
            </w:pPr>
            <w:r w:rsidRPr="007879DB">
              <w:t>Describe an EOP and its purpose at the local, state, and federal level.</w:t>
            </w:r>
          </w:p>
          <w:p w:rsidR="006B0689" w:rsidRPr="007879DB" w:rsidRDefault="006B0689" w:rsidP="002F23D3">
            <w:pPr>
              <w:numPr>
                <w:ilvl w:val="2"/>
                <w:numId w:val="1"/>
              </w:numPr>
              <w:ind w:left="706" w:hanging="706"/>
            </w:pPr>
            <w:r w:rsidRPr="007879DB">
              <w:t>Identify public service systems and officials involved in planning.</w:t>
            </w:r>
          </w:p>
          <w:p w:rsidR="006B0689" w:rsidRPr="007879DB" w:rsidRDefault="006B0689" w:rsidP="002F23D3">
            <w:pPr>
              <w:numPr>
                <w:ilvl w:val="2"/>
                <w:numId w:val="1"/>
              </w:numPr>
              <w:ind w:left="706" w:hanging="706"/>
            </w:pPr>
            <w:r w:rsidRPr="007879DB">
              <w:t>Identify and describe the four steps in emergency planning (i.e., hazard analysis, EOP development, EOP testing, EOP maintenance and revision).</w:t>
            </w:r>
          </w:p>
          <w:p w:rsidR="006B0689" w:rsidRPr="007879DB" w:rsidRDefault="006B0689" w:rsidP="002F23D3">
            <w:pPr>
              <w:numPr>
                <w:ilvl w:val="2"/>
                <w:numId w:val="1"/>
              </w:numPr>
              <w:ind w:left="706" w:hanging="706"/>
            </w:pPr>
            <w:r w:rsidRPr="007879DB">
              <w:t>Identify and analyze hazards using the four-step hazard analysis method (i.e., identify hazard, profile hazard, profile community, determine vulnerability).</w:t>
            </w:r>
          </w:p>
          <w:p w:rsidR="006B0689" w:rsidRPr="007879DB" w:rsidRDefault="006B0689" w:rsidP="002F23D3">
            <w:pPr>
              <w:numPr>
                <w:ilvl w:val="2"/>
                <w:numId w:val="1"/>
              </w:numPr>
              <w:ind w:left="706" w:hanging="706"/>
            </w:pPr>
            <w:r w:rsidRPr="007879DB">
              <w:t>List and describe the basic components of an EOP.</w:t>
            </w:r>
          </w:p>
          <w:p w:rsidR="006B0689" w:rsidRPr="007879DB" w:rsidRDefault="006B0689" w:rsidP="002F23D3">
            <w:pPr>
              <w:numPr>
                <w:ilvl w:val="2"/>
                <w:numId w:val="1"/>
              </w:numPr>
              <w:ind w:left="706" w:hanging="706"/>
            </w:pPr>
            <w:r w:rsidRPr="007879DB">
              <w:t>Describe and differentiate functional annexes and hazard specific appendices.</w:t>
            </w:r>
          </w:p>
          <w:p w:rsidR="006B0689" w:rsidRPr="007879DB" w:rsidRDefault="006B0689" w:rsidP="002F23D3">
            <w:pPr>
              <w:numPr>
                <w:ilvl w:val="2"/>
                <w:numId w:val="1"/>
              </w:numPr>
              <w:ind w:left="706" w:hanging="706"/>
            </w:pPr>
            <w:r w:rsidRPr="007879DB">
              <w:t>Activate the incident command system and implement an emergency response following an EOP.</w:t>
            </w:r>
          </w:p>
        </w:tc>
      </w:tr>
      <w:tr w:rsidR="006B0689" w:rsidRPr="007879DB" w:rsidTr="006B0689">
        <w:tc>
          <w:tcPr>
            <w:tcW w:w="905" w:type="pct"/>
            <w:shd w:val="clear" w:color="auto" w:fill="B8CCE4" w:themeFill="accent1" w:themeFillTint="66"/>
          </w:tcPr>
          <w:p w:rsidR="006B0689" w:rsidRPr="007879DB" w:rsidRDefault="006B0689" w:rsidP="002F23D3">
            <w:pPr>
              <w:rPr>
                <w:b/>
              </w:rPr>
            </w:pPr>
            <w:r w:rsidRPr="007879DB">
              <w:rPr>
                <w:b/>
              </w:rPr>
              <w:t>Pathways</w:t>
            </w:r>
          </w:p>
        </w:tc>
        <w:tc>
          <w:tcPr>
            <w:tcW w:w="235" w:type="pct"/>
            <w:tcBorders>
              <w:right w:val="nil"/>
            </w:tcBorders>
          </w:tcPr>
          <w:p w:rsidR="006B0689" w:rsidRPr="007879DB" w:rsidRDefault="006B0689" w:rsidP="002F23D3">
            <w:pPr>
              <w:jc w:val="center"/>
            </w:pPr>
            <w:r w:rsidRPr="007879DB">
              <w:t>X</w:t>
            </w:r>
          </w:p>
        </w:tc>
        <w:tc>
          <w:tcPr>
            <w:tcW w:w="1786" w:type="pct"/>
            <w:gridSpan w:val="3"/>
            <w:tcBorders>
              <w:left w:val="nil"/>
            </w:tcBorders>
            <w:shd w:val="clear" w:color="auto" w:fill="B8CCE4" w:themeFill="accent1" w:themeFillTint="66"/>
          </w:tcPr>
          <w:p w:rsidR="006B0689" w:rsidRPr="007879DB" w:rsidRDefault="006B0689" w:rsidP="002F23D3">
            <w:r w:rsidRPr="007879DB">
              <w:t>Criminal Justice</w:t>
            </w:r>
          </w:p>
        </w:tc>
        <w:tc>
          <w:tcPr>
            <w:tcW w:w="329" w:type="pct"/>
            <w:tcBorders>
              <w:right w:val="nil"/>
            </w:tcBorders>
          </w:tcPr>
          <w:p w:rsidR="006B0689" w:rsidRPr="007879DB" w:rsidRDefault="006B0689" w:rsidP="002F23D3">
            <w:pPr>
              <w:jc w:val="center"/>
            </w:pPr>
            <w:r w:rsidRPr="007879DB">
              <w:t>X</w:t>
            </w:r>
          </w:p>
        </w:tc>
        <w:tc>
          <w:tcPr>
            <w:tcW w:w="1745" w:type="pct"/>
            <w:gridSpan w:val="3"/>
            <w:tcBorders>
              <w:left w:val="nil"/>
            </w:tcBorders>
            <w:shd w:val="clear" w:color="auto" w:fill="B8CCE4" w:themeFill="accent1" w:themeFillTint="66"/>
          </w:tcPr>
          <w:p w:rsidR="006B0689" w:rsidRPr="007879DB" w:rsidRDefault="006B0689" w:rsidP="002F23D3">
            <w:r w:rsidRPr="007879DB">
              <w:t>Fire</w:t>
            </w:r>
          </w:p>
        </w:tc>
      </w:tr>
      <w:tr w:rsidR="006B0689" w:rsidRPr="007879DB" w:rsidTr="006B0689">
        <w:tc>
          <w:tcPr>
            <w:tcW w:w="905" w:type="pct"/>
            <w:shd w:val="clear" w:color="auto" w:fill="B8CCE4" w:themeFill="accent1" w:themeFillTint="66"/>
          </w:tcPr>
          <w:p w:rsidR="006B0689" w:rsidRPr="007879DB" w:rsidRDefault="006B0689" w:rsidP="002F23D3">
            <w:pPr>
              <w:rPr>
                <w:b/>
              </w:rPr>
            </w:pPr>
            <w:r w:rsidRPr="007879DB">
              <w:rPr>
                <w:b/>
              </w:rPr>
              <w:t>Green Practices</w:t>
            </w:r>
          </w:p>
        </w:tc>
        <w:tc>
          <w:tcPr>
            <w:tcW w:w="235" w:type="pct"/>
            <w:tcBorders>
              <w:right w:val="nil"/>
            </w:tcBorders>
          </w:tcPr>
          <w:p w:rsidR="006B0689" w:rsidRPr="007879DB" w:rsidRDefault="006B0689" w:rsidP="002F23D3">
            <w:pPr>
              <w:jc w:val="center"/>
            </w:pPr>
          </w:p>
        </w:tc>
        <w:tc>
          <w:tcPr>
            <w:tcW w:w="940" w:type="pct"/>
            <w:tcBorders>
              <w:left w:val="nil"/>
            </w:tcBorders>
            <w:shd w:val="clear" w:color="auto" w:fill="B8CCE4" w:themeFill="accent1" w:themeFillTint="66"/>
          </w:tcPr>
          <w:p w:rsidR="006B0689" w:rsidRPr="007879DB" w:rsidRDefault="006B0689" w:rsidP="002F23D3">
            <w:r w:rsidRPr="007879DB">
              <w:t>Green-specific</w:t>
            </w:r>
          </w:p>
        </w:tc>
        <w:tc>
          <w:tcPr>
            <w:tcW w:w="235" w:type="pct"/>
            <w:tcBorders>
              <w:right w:val="nil"/>
            </w:tcBorders>
          </w:tcPr>
          <w:p w:rsidR="006B0689" w:rsidRPr="007879DB" w:rsidRDefault="006B0689" w:rsidP="002F23D3"/>
        </w:tc>
        <w:tc>
          <w:tcPr>
            <w:tcW w:w="1222" w:type="pct"/>
            <w:gridSpan w:val="3"/>
            <w:tcBorders>
              <w:left w:val="nil"/>
            </w:tcBorders>
            <w:shd w:val="clear" w:color="auto" w:fill="B8CCE4" w:themeFill="accent1" w:themeFillTint="66"/>
          </w:tcPr>
          <w:p w:rsidR="006B0689" w:rsidRPr="007879DB" w:rsidRDefault="006B0689" w:rsidP="002F23D3">
            <w:r w:rsidRPr="007879DB">
              <w:t>Context-dependent</w:t>
            </w:r>
          </w:p>
        </w:tc>
        <w:tc>
          <w:tcPr>
            <w:tcW w:w="235" w:type="pct"/>
            <w:tcBorders>
              <w:right w:val="nil"/>
            </w:tcBorders>
          </w:tcPr>
          <w:p w:rsidR="006B0689" w:rsidRPr="007879DB" w:rsidRDefault="006B0689" w:rsidP="002F23D3">
            <w:r w:rsidRPr="007879DB">
              <w:t>X</w:t>
            </w:r>
          </w:p>
        </w:tc>
        <w:tc>
          <w:tcPr>
            <w:tcW w:w="1228" w:type="pct"/>
            <w:tcBorders>
              <w:left w:val="nil"/>
            </w:tcBorders>
            <w:shd w:val="clear" w:color="auto" w:fill="B8CCE4" w:themeFill="accent1" w:themeFillTint="66"/>
          </w:tcPr>
          <w:p w:rsidR="006B0689" w:rsidRPr="007879DB" w:rsidRDefault="006B0689" w:rsidP="002F23D3">
            <w:r w:rsidRPr="007879DB">
              <w:t>Does not apply</w:t>
            </w:r>
          </w:p>
        </w:tc>
      </w:tr>
    </w:tbl>
    <w:p w:rsidR="003B5429" w:rsidRDefault="003B5429"/>
    <w:sectPr w:rsidR="003B542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689" w:rsidRDefault="006B0689" w:rsidP="006B0689">
      <w:r>
        <w:separator/>
      </w:r>
    </w:p>
  </w:endnote>
  <w:endnote w:type="continuationSeparator" w:id="0">
    <w:p w:rsidR="006B0689" w:rsidRDefault="006B0689" w:rsidP="006B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689" w:rsidRDefault="006B0689" w:rsidP="006B0689">
      <w:r>
        <w:separator/>
      </w:r>
    </w:p>
  </w:footnote>
  <w:footnote w:type="continuationSeparator" w:id="0">
    <w:p w:rsidR="006B0689" w:rsidRDefault="006B0689" w:rsidP="006B0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689" w:rsidRDefault="006B0689">
    <w:pPr>
      <w:pStyle w:val="Header"/>
      <w:rPr>
        <w:noProof/>
      </w:rPr>
    </w:pPr>
    <w:r>
      <w:t>Criminal Justice Pathway</w:t>
    </w:r>
    <w:r>
      <w:ptab w:relativeTo="margin" w:alignment="right" w:leader="none"/>
    </w:r>
    <w:r w:rsidRPr="006B0689">
      <w:fldChar w:fldCharType="begin"/>
    </w:r>
    <w:r w:rsidRPr="006B0689">
      <w:instrText xml:space="preserve"> PAGE   \* MERGEFORMAT </w:instrText>
    </w:r>
    <w:r w:rsidRPr="006B0689">
      <w:fldChar w:fldCharType="separate"/>
    </w:r>
    <w:r w:rsidR="00D702B1">
      <w:rPr>
        <w:noProof/>
      </w:rPr>
      <w:t>1</w:t>
    </w:r>
    <w:r w:rsidRPr="006B0689">
      <w:rPr>
        <w:noProof/>
      </w:rPr>
      <w:fldChar w:fldCharType="end"/>
    </w:r>
  </w:p>
  <w:p w:rsidR="006B0689" w:rsidRDefault="00532F4F">
    <w:pPr>
      <w:pStyle w:val="Header"/>
    </w:pPr>
    <w:r>
      <w:rPr>
        <w:noProof/>
      </w:rPr>
      <w:t>Course</w:t>
    </w:r>
    <w:r w:rsidR="006B0689">
      <w:rPr>
        <w:noProof/>
      </w:rPr>
      <w:t xml:space="preserve"> 6. </w:t>
    </w:r>
    <w:r w:rsidR="006B0689" w:rsidRPr="006B0689">
      <w:rPr>
        <w:noProof/>
      </w:rPr>
      <w:t>Homeland Security</w:t>
    </w:r>
    <w:r w:rsidR="006B0689">
      <w:rPr>
        <w:noProof/>
      </w:rPr>
      <w:t>:</w:t>
    </w:r>
    <w:r w:rsidR="006B0689" w:rsidRPr="006B0689">
      <w:rPr>
        <w:noProof/>
      </w:rPr>
      <w:t xml:space="preserve"> Protecting America’s Critical Infrastructure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259C6"/>
    <w:multiLevelType w:val="multilevel"/>
    <w:tmpl w:val="300471A2"/>
    <w:lvl w:ilvl="0">
      <w:start w:val="6"/>
      <w:numFmt w:val="decimal"/>
      <w:lvlText w:val="%1."/>
      <w:lvlJc w:val="left"/>
      <w:pPr>
        <w:ind w:left="432" w:hanging="432"/>
      </w:pPr>
      <w:rPr>
        <w:rFonts w:hint="default"/>
        <w:b w:val="0"/>
        <w:i w:val="0"/>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asciiTheme="minorHAnsi" w:hAnsiTheme="minorHAnsi" w:cstheme="minorHAnsi"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689"/>
    <w:rsid w:val="003B5429"/>
    <w:rsid w:val="0044655A"/>
    <w:rsid w:val="00532F4F"/>
    <w:rsid w:val="00624567"/>
    <w:rsid w:val="006B0689"/>
    <w:rsid w:val="00B86906"/>
    <w:rsid w:val="00C14696"/>
    <w:rsid w:val="00D702B1"/>
    <w:rsid w:val="00FC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689"/>
    <w:pPr>
      <w:tabs>
        <w:tab w:val="center" w:pos="4680"/>
        <w:tab w:val="right" w:pos="9360"/>
      </w:tabs>
    </w:pPr>
  </w:style>
  <w:style w:type="character" w:customStyle="1" w:styleId="HeaderChar">
    <w:name w:val="Header Char"/>
    <w:basedOn w:val="DefaultParagraphFont"/>
    <w:link w:val="Header"/>
    <w:uiPriority w:val="99"/>
    <w:rsid w:val="006B0689"/>
  </w:style>
  <w:style w:type="paragraph" w:styleId="Footer">
    <w:name w:val="footer"/>
    <w:basedOn w:val="Normal"/>
    <w:link w:val="FooterChar"/>
    <w:uiPriority w:val="99"/>
    <w:unhideWhenUsed/>
    <w:rsid w:val="006B0689"/>
    <w:pPr>
      <w:tabs>
        <w:tab w:val="center" w:pos="4680"/>
        <w:tab w:val="right" w:pos="9360"/>
      </w:tabs>
    </w:pPr>
  </w:style>
  <w:style w:type="character" w:customStyle="1" w:styleId="FooterChar">
    <w:name w:val="Footer Char"/>
    <w:basedOn w:val="DefaultParagraphFont"/>
    <w:link w:val="Footer"/>
    <w:uiPriority w:val="99"/>
    <w:rsid w:val="006B0689"/>
  </w:style>
  <w:style w:type="table" w:customStyle="1" w:styleId="TableGrid14">
    <w:name w:val="Table Grid14"/>
    <w:basedOn w:val="TableNormal"/>
    <w:next w:val="TableGrid"/>
    <w:uiPriority w:val="59"/>
    <w:rsid w:val="006B068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B06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689"/>
    <w:pPr>
      <w:tabs>
        <w:tab w:val="center" w:pos="4680"/>
        <w:tab w:val="right" w:pos="9360"/>
      </w:tabs>
    </w:pPr>
  </w:style>
  <w:style w:type="character" w:customStyle="1" w:styleId="HeaderChar">
    <w:name w:val="Header Char"/>
    <w:basedOn w:val="DefaultParagraphFont"/>
    <w:link w:val="Header"/>
    <w:uiPriority w:val="99"/>
    <w:rsid w:val="006B0689"/>
  </w:style>
  <w:style w:type="paragraph" w:styleId="Footer">
    <w:name w:val="footer"/>
    <w:basedOn w:val="Normal"/>
    <w:link w:val="FooterChar"/>
    <w:uiPriority w:val="99"/>
    <w:unhideWhenUsed/>
    <w:rsid w:val="006B0689"/>
    <w:pPr>
      <w:tabs>
        <w:tab w:val="center" w:pos="4680"/>
        <w:tab w:val="right" w:pos="9360"/>
      </w:tabs>
    </w:pPr>
  </w:style>
  <w:style w:type="character" w:customStyle="1" w:styleId="FooterChar">
    <w:name w:val="Footer Char"/>
    <w:basedOn w:val="DefaultParagraphFont"/>
    <w:link w:val="Footer"/>
    <w:uiPriority w:val="99"/>
    <w:rsid w:val="006B0689"/>
  </w:style>
  <w:style w:type="table" w:customStyle="1" w:styleId="TableGrid14">
    <w:name w:val="Table Grid14"/>
    <w:basedOn w:val="TableNormal"/>
    <w:next w:val="TableGrid"/>
    <w:uiPriority w:val="59"/>
    <w:rsid w:val="006B068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B06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Wonacott</dc:creator>
  <cp:lastModifiedBy>Mike Loyd</cp:lastModifiedBy>
  <cp:revision>5</cp:revision>
  <dcterms:created xsi:type="dcterms:W3CDTF">2013-02-12T12:46:00Z</dcterms:created>
  <dcterms:modified xsi:type="dcterms:W3CDTF">2013-10-24T16:57:00Z</dcterms:modified>
</cp:coreProperties>
</file>